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11" w:rsidRPr="00E56071" w:rsidRDefault="002D1311">
      <w:pPr>
        <w:tabs>
          <w:tab w:val="left" w:pos="1440"/>
          <w:tab w:val="left" w:pos="1530"/>
        </w:tabs>
        <w:jc w:val="center"/>
        <w:rPr>
          <w:b/>
          <w:bCs/>
          <w:lang w:val="sr-Cyrl-RS"/>
        </w:rPr>
      </w:pPr>
      <w:r w:rsidRPr="00E56071">
        <w:rPr>
          <w:b/>
          <w:bCs/>
          <w:lang w:val="sr-Cyrl-RS"/>
        </w:rPr>
        <w:t>III. ИЗВРШАВАЊЕ БУЏЕТА</w:t>
      </w:r>
    </w:p>
    <w:p w:rsidR="002D1311" w:rsidRPr="00E56071" w:rsidRDefault="002D1311">
      <w:pPr>
        <w:tabs>
          <w:tab w:val="left" w:pos="1440"/>
        </w:tabs>
        <w:rPr>
          <w:lang w:val="sr-Cyrl-RS"/>
        </w:rPr>
      </w:pPr>
      <w:r w:rsidRPr="00E56071">
        <w:rPr>
          <w:lang w:val="sr-Cyrl-RS"/>
        </w:rPr>
        <w:tab/>
        <w:t xml:space="preserve"> </w:t>
      </w:r>
    </w:p>
    <w:p w:rsidR="006D54BA" w:rsidRPr="00E56071" w:rsidRDefault="006D54BA" w:rsidP="006D54BA">
      <w:pPr>
        <w:tabs>
          <w:tab w:val="left" w:pos="1440"/>
        </w:tabs>
        <w:jc w:val="center"/>
        <w:rPr>
          <w:lang w:val="sr-Cyrl-RS"/>
        </w:rPr>
      </w:pPr>
      <w:r w:rsidRPr="00E56071">
        <w:rPr>
          <w:lang w:val="sr-Cyrl-RS"/>
        </w:rPr>
        <w:t>Члан 7.</w:t>
      </w:r>
    </w:p>
    <w:p w:rsidR="006001DD" w:rsidRPr="00E56071" w:rsidRDefault="006D54BA" w:rsidP="00C264B3">
      <w:pPr>
        <w:tabs>
          <w:tab w:val="left" w:pos="720"/>
          <w:tab w:val="left" w:pos="1440"/>
        </w:tabs>
        <w:jc w:val="both"/>
        <w:rPr>
          <w:lang w:val="sr-Cyrl-RS"/>
        </w:rPr>
      </w:pPr>
      <w:r w:rsidRPr="00E56071">
        <w:rPr>
          <w:lang w:val="sr-Cyrl-RS"/>
        </w:rPr>
        <w:tab/>
      </w:r>
      <w:r w:rsidR="00B11421" w:rsidRPr="00E56071">
        <w:rPr>
          <w:lang w:val="sr-Cyrl-RS"/>
        </w:rPr>
        <w:t>У члану 8. ст</w:t>
      </w:r>
      <w:r w:rsidR="006001DD" w:rsidRPr="00E56071">
        <w:rPr>
          <w:lang w:val="sr-Cyrl-RS"/>
        </w:rPr>
        <w:t>ав</w:t>
      </w:r>
      <w:r w:rsidRPr="00E56071">
        <w:rPr>
          <w:lang w:val="sr-Cyrl-RS"/>
        </w:rPr>
        <w:t xml:space="preserve"> 3</w:t>
      </w:r>
      <w:r w:rsidR="006001DD" w:rsidRPr="00E56071">
        <w:rPr>
          <w:lang w:val="sr-Cyrl-RS"/>
        </w:rPr>
        <w:t>. мења се и гласи:</w:t>
      </w:r>
    </w:p>
    <w:p w:rsidR="006001DD" w:rsidRPr="00E56071" w:rsidRDefault="006001DD" w:rsidP="00C264B3">
      <w:pPr>
        <w:tabs>
          <w:tab w:val="left" w:pos="720"/>
          <w:tab w:val="left" w:pos="1440"/>
        </w:tabs>
        <w:jc w:val="both"/>
        <w:rPr>
          <w:lang w:val="sr-Cyrl-RS"/>
        </w:rPr>
      </w:pPr>
      <w:r w:rsidRPr="00E56071">
        <w:rPr>
          <w:lang w:val="sr-Cyrl-RS"/>
        </w:rPr>
        <w:tab/>
        <w:t>„Од плате за новембар 2014. године утврђује се основица за обрачун и исплату плата за државне службенике и намештенике у нето износу од 17.101,29 динара са припадајућим порезом и доприносима за обавезно социјално осигурање.”</w:t>
      </w:r>
    </w:p>
    <w:p w:rsidR="006001DD" w:rsidRPr="00E56071" w:rsidRDefault="006001DD" w:rsidP="00C264B3">
      <w:pPr>
        <w:tabs>
          <w:tab w:val="left" w:pos="720"/>
          <w:tab w:val="left" w:pos="1440"/>
        </w:tabs>
        <w:jc w:val="both"/>
        <w:rPr>
          <w:lang w:val="sr-Cyrl-RS"/>
        </w:rPr>
      </w:pPr>
      <w:r w:rsidRPr="00E56071">
        <w:rPr>
          <w:rFonts w:ascii="TimesNewRomanPSMT" w:hAnsi="TimesNewRomanPSMT" w:cs="TimesNewRomanPSMT"/>
          <w:sz w:val="23"/>
          <w:szCs w:val="23"/>
          <w:lang w:val="sr-Cyrl-RS"/>
        </w:rPr>
        <w:tab/>
        <w:t>Став</w:t>
      </w:r>
      <w:r w:rsidR="00B11421" w:rsidRPr="00E56071">
        <w:rPr>
          <w:lang w:val="sr-Cyrl-RS"/>
        </w:rPr>
        <w:t xml:space="preserve"> 6.</w:t>
      </w:r>
      <w:r w:rsidRPr="00E56071">
        <w:rPr>
          <w:lang w:val="sr-Cyrl-RS"/>
        </w:rPr>
        <w:t xml:space="preserve"> мења се и гласи:</w:t>
      </w:r>
    </w:p>
    <w:p w:rsidR="006001DD" w:rsidRPr="00E56071" w:rsidRDefault="006001DD" w:rsidP="006001DD">
      <w:pPr>
        <w:tabs>
          <w:tab w:val="left" w:pos="720"/>
          <w:tab w:val="left" w:pos="1440"/>
        </w:tabs>
        <w:jc w:val="both"/>
        <w:rPr>
          <w:lang w:val="sr-Cyrl-RS"/>
        </w:rPr>
      </w:pPr>
      <w:r w:rsidRPr="00E56071">
        <w:rPr>
          <w:lang w:val="sr-Cyrl-RS"/>
        </w:rPr>
        <w:tab/>
        <w:t>„Од плате за новембар 2014. године утврђује се основица за обрачун и исплату плата судија, јавних тужилаца и заменика јавних тужилаца у нето износу од 29.835,87 динара са припадајућим порезом и доприносима за обавезно социјално осигурање.”</w:t>
      </w:r>
    </w:p>
    <w:p w:rsidR="006D54BA" w:rsidRPr="00E56071" w:rsidRDefault="006001DD" w:rsidP="00C264B3">
      <w:pPr>
        <w:tabs>
          <w:tab w:val="left" w:pos="720"/>
          <w:tab w:val="left" w:pos="1440"/>
        </w:tabs>
        <w:jc w:val="both"/>
        <w:rPr>
          <w:lang w:val="sr-Cyrl-RS"/>
        </w:rPr>
      </w:pPr>
      <w:r w:rsidRPr="00E56071">
        <w:rPr>
          <w:lang w:val="sr-Cyrl-RS"/>
        </w:rPr>
        <w:tab/>
        <w:t>Став</w:t>
      </w:r>
      <w:r w:rsidR="00B11421" w:rsidRPr="00E56071">
        <w:rPr>
          <w:lang w:val="sr-Cyrl-RS"/>
        </w:rPr>
        <w:t xml:space="preserve"> 10. </w:t>
      </w:r>
      <w:r w:rsidRPr="00E56071">
        <w:rPr>
          <w:lang w:val="sr-Cyrl-RS"/>
        </w:rPr>
        <w:t>мења се и гласи:</w:t>
      </w:r>
    </w:p>
    <w:p w:rsidR="006001DD" w:rsidRPr="00E56071" w:rsidRDefault="006001DD" w:rsidP="006001DD">
      <w:pPr>
        <w:tabs>
          <w:tab w:val="left" w:pos="720"/>
          <w:tab w:val="left" w:pos="1440"/>
        </w:tabs>
        <w:jc w:val="both"/>
        <w:rPr>
          <w:lang w:val="sr-Cyrl-RS"/>
        </w:rPr>
      </w:pPr>
      <w:r w:rsidRPr="00E56071">
        <w:rPr>
          <w:lang w:val="sr-Cyrl-RS"/>
        </w:rPr>
        <w:tab/>
        <w:t>„Од плате за новембар 2014. године утврђује се основица за обрачун и исплату плата председника и судија Уставног суда у нето износу од 29.835,87 динара са припадајућим порезом и доприносима за обавезно социјално осигурање.”</w:t>
      </w:r>
    </w:p>
    <w:p w:rsidR="000702C0" w:rsidRPr="00E56071" w:rsidRDefault="000702C0" w:rsidP="00C264B3">
      <w:pPr>
        <w:tabs>
          <w:tab w:val="left" w:pos="720"/>
          <w:tab w:val="left" w:pos="1440"/>
        </w:tabs>
        <w:jc w:val="both"/>
        <w:rPr>
          <w:lang w:val="sr-Cyrl-RS"/>
        </w:rPr>
      </w:pPr>
      <w:r w:rsidRPr="00E56071">
        <w:rPr>
          <w:lang w:val="sr-Cyrl-RS"/>
        </w:rPr>
        <w:tab/>
        <w:t xml:space="preserve">У ставу 11. речи: „Висину </w:t>
      </w:r>
      <w:bookmarkStart w:id="0" w:name="_GoBack"/>
      <w:bookmarkEnd w:id="0"/>
      <w:r w:rsidRPr="00E56071">
        <w:rPr>
          <w:lang w:val="sr-Cyrl-RS"/>
        </w:rPr>
        <w:t>основице из ст. 2, 3, 5, 6, 9. и 10. овог члана”, замењују се речима: „Висину основице из ст. 2, 5. и 9. овог члана”.</w:t>
      </w:r>
    </w:p>
    <w:p w:rsidR="006D54BA" w:rsidRPr="00E56071" w:rsidRDefault="006D54BA">
      <w:pPr>
        <w:tabs>
          <w:tab w:val="left" w:pos="1440"/>
        </w:tabs>
        <w:rPr>
          <w:lang w:val="sr-Cyrl-RS"/>
        </w:rPr>
      </w:pPr>
    </w:p>
    <w:p w:rsidR="00B9698A" w:rsidRPr="00E56071" w:rsidRDefault="00B9698A" w:rsidP="00B9698A">
      <w:pPr>
        <w:tabs>
          <w:tab w:val="left" w:pos="1440"/>
        </w:tabs>
        <w:jc w:val="center"/>
        <w:rPr>
          <w:lang w:val="sr-Cyrl-RS"/>
        </w:rPr>
      </w:pPr>
      <w:r w:rsidRPr="00E56071">
        <w:rPr>
          <w:lang w:val="sr-Cyrl-RS"/>
        </w:rPr>
        <w:t>Члан 8.</w:t>
      </w:r>
    </w:p>
    <w:p w:rsidR="00AA5D09" w:rsidRPr="00E56071" w:rsidRDefault="00B9698A" w:rsidP="00AA5D09">
      <w:pPr>
        <w:tabs>
          <w:tab w:val="left" w:pos="720"/>
          <w:tab w:val="left" w:pos="1440"/>
        </w:tabs>
        <w:jc w:val="both"/>
        <w:rPr>
          <w:lang w:val="sr-Cyrl-RS"/>
        </w:rPr>
      </w:pPr>
      <w:r w:rsidRPr="00E56071">
        <w:rPr>
          <w:lang w:val="sr-Cyrl-RS"/>
        </w:rPr>
        <w:tab/>
        <w:t>После члана 11. додаје се нови члан 11а, који гласи:</w:t>
      </w:r>
    </w:p>
    <w:p w:rsidR="005E3FAD" w:rsidRPr="00E56071" w:rsidRDefault="005E3FAD" w:rsidP="00AA5D09">
      <w:pPr>
        <w:tabs>
          <w:tab w:val="left" w:pos="720"/>
          <w:tab w:val="left" w:pos="1440"/>
        </w:tabs>
        <w:jc w:val="both"/>
        <w:rPr>
          <w:lang w:val="sr-Cyrl-RS"/>
        </w:rPr>
      </w:pPr>
    </w:p>
    <w:p w:rsidR="00AA5D09" w:rsidRPr="00E56071" w:rsidRDefault="00AA5D09" w:rsidP="00AA5D09">
      <w:pPr>
        <w:tabs>
          <w:tab w:val="left" w:pos="720"/>
          <w:tab w:val="left" w:pos="1440"/>
        </w:tabs>
        <w:jc w:val="center"/>
        <w:rPr>
          <w:lang w:val="sr-Cyrl-RS"/>
        </w:rPr>
      </w:pPr>
      <w:r w:rsidRPr="00E56071">
        <w:rPr>
          <w:lang w:val="sr-Cyrl-RS"/>
        </w:rPr>
        <w:t>„Члан 11a</w:t>
      </w:r>
    </w:p>
    <w:p w:rsidR="00B9698A" w:rsidRPr="00E56071" w:rsidRDefault="00B9698A" w:rsidP="00C264B3">
      <w:pPr>
        <w:tabs>
          <w:tab w:val="left" w:pos="720"/>
          <w:tab w:val="left" w:pos="1440"/>
        </w:tabs>
        <w:jc w:val="both"/>
        <w:rPr>
          <w:lang w:val="sr-Cyrl-RS"/>
        </w:rPr>
      </w:pPr>
      <w:r w:rsidRPr="00E56071">
        <w:rPr>
          <w:lang w:val="sr-Cyrl-RS"/>
        </w:rPr>
        <w:tab/>
        <w:t xml:space="preserve">Извршење расхода за финансирање формирања, складиштења, обнављања и других трошкова везаних за обавезне резерве нафте, као и инвестиција у складишта и пратећу инфраструктуру, </w:t>
      </w:r>
      <w:r w:rsidR="00C264B3" w:rsidRPr="00E56071">
        <w:rPr>
          <w:lang w:val="sr-Cyrl-RS"/>
        </w:rPr>
        <w:t xml:space="preserve">обезбеђених на разделу Министарства рударства и енергетике и Републичке дирекције за робне резерве </w:t>
      </w:r>
      <w:r w:rsidRPr="00E56071">
        <w:rPr>
          <w:lang w:val="sr-Cyrl-RS"/>
        </w:rPr>
        <w:t>може се вршити до висине остварених прихода по основу накнаде за формирања обавезних резерви нафте, у складу са чланом 22. Закона о робним резервама („Службени гласник РС”, број 104/13)</w:t>
      </w:r>
      <w:r w:rsidR="006001DD" w:rsidRPr="00E56071">
        <w:rPr>
          <w:lang w:val="sr-Cyrl-RS"/>
        </w:rPr>
        <w:t xml:space="preserve">, уколико </w:t>
      </w:r>
      <w:r w:rsidR="002965C0" w:rsidRPr="00E56071">
        <w:rPr>
          <w:lang w:val="sr-Cyrl-RS"/>
        </w:rPr>
        <w:t>је ниво остварених прихода мањи од одобрених апропријација</w:t>
      </w:r>
      <w:r w:rsidRPr="00E56071">
        <w:rPr>
          <w:lang w:val="sr-Cyrl-RS"/>
        </w:rPr>
        <w:t>”.</w:t>
      </w:r>
    </w:p>
    <w:p w:rsidR="00FD6273" w:rsidRPr="00E56071" w:rsidRDefault="00FD6273" w:rsidP="00634BEB">
      <w:pPr>
        <w:jc w:val="center"/>
        <w:rPr>
          <w:lang w:val="sr-Cyrl-RS"/>
        </w:rPr>
      </w:pPr>
    </w:p>
    <w:p w:rsidR="002D1311" w:rsidRPr="00E56071" w:rsidRDefault="00393271" w:rsidP="00634BEB">
      <w:pPr>
        <w:jc w:val="center"/>
        <w:rPr>
          <w:lang w:val="sr-Cyrl-RS"/>
        </w:rPr>
      </w:pPr>
      <w:r w:rsidRPr="00E56071">
        <w:rPr>
          <w:lang w:val="sr-Cyrl-RS"/>
        </w:rPr>
        <w:t>Члан</w:t>
      </w:r>
      <w:r w:rsidR="00A9312D" w:rsidRPr="00E56071">
        <w:rPr>
          <w:lang w:val="sr-Cyrl-RS"/>
        </w:rPr>
        <w:t xml:space="preserve"> </w:t>
      </w:r>
      <w:r w:rsidR="00587653" w:rsidRPr="00E56071">
        <w:rPr>
          <w:lang w:val="sr-Cyrl-RS"/>
        </w:rPr>
        <w:t>9</w:t>
      </w:r>
      <w:r w:rsidR="00634BEB" w:rsidRPr="00E56071">
        <w:rPr>
          <w:lang w:val="sr-Cyrl-RS"/>
        </w:rPr>
        <w:t>.</w:t>
      </w:r>
    </w:p>
    <w:p w:rsidR="00587653" w:rsidRPr="00E56071" w:rsidRDefault="00587653" w:rsidP="00587653">
      <w:pPr>
        <w:ind w:firstLine="720"/>
        <w:jc w:val="both"/>
        <w:rPr>
          <w:lang w:val="sr-Cyrl-RS"/>
        </w:rPr>
      </w:pPr>
      <w:r w:rsidRPr="00E56071">
        <w:rPr>
          <w:lang w:val="sr-Cyrl-RS"/>
        </w:rPr>
        <w:t>У члану 17. став 3. речи: „најкасније до 30. јуна 2014. године”, бришу се.</w:t>
      </w:r>
    </w:p>
    <w:p w:rsidR="00587653" w:rsidRPr="00E56071" w:rsidRDefault="002D1311" w:rsidP="00587653">
      <w:pPr>
        <w:jc w:val="center"/>
        <w:rPr>
          <w:color w:val="000000"/>
          <w:lang w:val="sr-Cyrl-RS"/>
        </w:rPr>
      </w:pPr>
      <w:r w:rsidRPr="00E56071">
        <w:rPr>
          <w:lang w:val="sr-Cyrl-RS"/>
        </w:rPr>
        <w:tab/>
      </w:r>
      <w:r w:rsidRPr="00E56071">
        <w:rPr>
          <w:lang w:val="sr-Cyrl-RS"/>
        </w:rPr>
        <w:tab/>
      </w:r>
      <w:r w:rsidRPr="00E56071">
        <w:rPr>
          <w:color w:val="000000"/>
          <w:lang w:val="sr-Cyrl-RS"/>
        </w:rPr>
        <w:tab/>
      </w:r>
    </w:p>
    <w:p w:rsidR="00587653" w:rsidRPr="00E56071" w:rsidRDefault="00587653" w:rsidP="00587653">
      <w:pPr>
        <w:jc w:val="center"/>
        <w:rPr>
          <w:lang w:val="sr-Cyrl-RS"/>
        </w:rPr>
      </w:pPr>
      <w:r w:rsidRPr="00E56071">
        <w:rPr>
          <w:lang w:val="sr-Cyrl-RS"/>
        </w:rPr>
        <w:t>Члан 10.</w:t>
      </w:r>
    </w:p>
    <w:p w:rsidR="00587653" w:rsidRPr="00E56071" w:rsidRDefault="00587653" w:rsidP="00587653">
      <w:pPr>
        <w:ind w:firstLine="720"/>
        <w:jc w:val="both"/>
        <w:rPr>
          <w:lang w:val="sr-Cyrl-RS"/>
        </w:rPr>
      </w:pPr>
      <w:r w:rsidRPr="00E56071">
        <w:rPr>
          <w:lang w:val="sr-Cyrl-RS"/>
        </w:rPr>
        <w:t>Члан 20. мења се и гласи:</w:t>
      </w:r>
    </w:p>
    <w:p w:rsidR="00AA5D09" w:rsidRPr="00E56071" w:rsidRDefault="00AA5D09" w:rsidP="00AA5D09">
      <w:pPr>
        <w:jc w:val="center"/>
        <w:rPr>
          <w:lang w:val="sr-Cyrl-RS"/>
        </w:rPr>
      </w:pPr>
      <w:r w:rsidRPr="00E56071">
        <w:rPr>
          <w:lang w:val="sr-Cyrl-RS"/>
        </w:rPr>
        <w:t>„Члан 20.</w:t>
      </w:r>
    </w:p>
    <w:p w:rsidR="00587653" w:rsidRPr="00E56071" w:rsidRDefault="00587653" w:rsidP="00587653">
      <w:pPr>
        <w:tabs>
          <w:tab w:val="left" w:pos="720"/>
          <w:tab w:val="left" w:pos="1440"/>
        </w:tabs>
        <w:jc w:val="both"/>
        <w:rPr>
          <w:lang w:val="sr-Cyrl-RS"/>
        </w:rPr>
      </w:pPr>
      <w:r w:rsidRPr="00E56071">
        <w:rPr>
          <w:lang w:val="sr-Cyrl-RS"/>
        </w:rPr>
        <w:tab/>
        <w:t>Влада може да одлучи о отпису потраживања Републике Србије насталих по основу датих позајмица и плаћених обавеза по основу издатих гаранција привредним субјектима, као и о претварању појединих доспелих потраживања Републике Србије насталих по основу позајмица из буџета Републике Србије, у капитал дужника, а на основу предлога министарства надлежног за послове привреде”.</w:t>
      </w:r>
    </w:p>
    <w:p w:rsidR="002D1311" w:rsidRPr="00E56071" w:rsidRDefault="002D1311">
      <w:pPr>
        <w:tabs>
          <w:tab w:val="left" w:pos="1440"/>
        </w:tabs>
        <w:jc w:val="both"/>
        <w:rPr>
          <w:color w:val="FF0000"/>
          <w:lang w:val="sr-Cyrl-RS"/>
        </w:rPr>
      </w:pPr>
      <w:r w:rsidRPr="00E56071">
        <w:rPr>
          <w:lang w:val="sr-Cyrl-RS"/>
        </w:rPr>
        <w:tab/>
      </w:r>
    </w:p>
    <w:p w:rsidR="00687988" w:rsidRPr="00E56071" w:rsidRDefault="00687988" w:rsidP="00687988">
      <w:pPr>
        <w:jc w:val="center"/>
        <w:rPr>
          <w:lang w:val="sr-Cyrl-RS"/>
        </w:rPr>
      </w:pPr>
      <w:r w:rsidRPr="00E56071">
        <w:rPr>
          <w:lang w:val="sr-Cyrl-RS"/>
        </w:rPr>
        <w:t>Члан 1</w:t>
      </w:r>
      <w:r w:rsidR="007357A4" w:rsidRPr="00E56071">
        <w:rPr>
          <w:lang w:val="sr-Cyrl-RS"/>
        </w:rPr>
        <w:t>1</w:t>
      </w:r>
      <w:r w:rsidRPr="00E56071">
        <w:rPr>
          <w:lang w:val="sr-Cyrl-RS"/>
        </w:rPr>
        <w:t>.</w:t>
      </w:r>
    </w:p>
    <w:p w:rsidR="00687988" w:rsidRPr="00E56071" w:rsidRDefault="00687988" w:rsidP="00687988">
      <w:pPr>
        <w:tabs>
          <w:tab w:val="left" w:pos="720"/>
          <w:tab w:val="left" w:pos="1440"/>
        </w:tabs>
        <w:jc w:val="both"/>
        <w:rPr>
          <w:lang w:val="sr-Cyrl-RS"/>
        </w:rPr>
      </w:pPr>
      <w:r w:rsidRPr="00E56071">
        <w:rPr>
          <w:lang w:val="sr-Cyrl-RS"/>
        </w:rPr>
        <w:tab/>
        <w:t>У члану 24. ст. 2. и 3. речи: „у оквиру Раздела 19 - Министарство регионалног развоја и локалне самоуправе” замењују се речима: „у оквиру Р</w:t>
      </w:r>
      <w:r w:rsidR="00AA5D09" w:rsidRPr="00E56071">
        <w:rPr>
          <w:lang w:val="sr-Cyrl-RS"/>
        </w:rPr>
        <w:t>аздела - Министарство привреде”</w:t>
      </w:r>
      <w:r w:rsidRPr="00E56071">
        <w:rPr>
          <w:lang w:val="sr-Cyrl-RS"/>
        </w:rPr>
        <w:t>.</w:t>
      </w:r>
    </w:p>
    <w:p w:rsidR="00687988" w:rsidRPr="00E56071" w:rsidRDefault="00687988" w:rsidP="00687988">
      <w:pPr>
        <w:tabs>
          <w:tab w:val="left" w:pos="720"/>
          <w:tab w:val="left" w:pos="1440"/>
        </w:tabs>
        <w:jc w:val="both"/>
        <w:rPr>
          <w:lang w:val="sr-Cyrl-RS"/>
        </w:rPr>
      </w:pPr>
      <w:r w:rsidRPr="00E56071">
        <w:rPr>
          <w:lang w:val="sr-Cyrl-RS"/>
        </w:rPr>
        <w:lastRenderedPageBreak/>
        <w:tab/>
        <w:t>У ставу 4. речи: „у оквиру Раздела 19 - Министарство регионалног развоја и локалне самоуправе” замењују се речима: „</w:t>
      </w:r>
      <w:r w:rsidR="00867002" w:rsidRPr="00E56071">
        <w:rPr>
          <w:lang w:val="sr-Cyrl-RS"/>
        </w:rPr>
        <w:t>у оквиру Раздела - Министарство привреде</w:t>
      </w:r>
      <w:r w:rsidRPr="00E56071">
        <w:rPr>
          <w:lang w:val="sr-Cyrl-RS"/>
        </w:rPr>
        <w:t>”, а речи: „</w:t>
      </w:r>
      <w:r w:rsidR="00867002" w:rsidRPr="00E56071">
        <w:rPr>
          <w:lang w:val="sr-Cyrl-RS"/>
        </w:rPr>
        <w:t>Канцеларији за сарадњу с црквама и верским заједницама</w:t>
      </w:r>
      <w:r w:rsidRPr="00E56071">
        <w:rPr>
          <w:lang w:val="sr-Cyrl-RS"/>
        </w:rPr>
        <w:t>” замењују се речима: „</w:t>
      </w:r>
      <w:r w:rsidR="00867002" w:rsidRPr="00E56071">
        <w:rPr>
          <w:lang w:val="sr-Cyrl-RS"/>
        </w:rPr>
        <w:t>Управ</w:t>
      </w:r>
      <w:r w:rsidR="00AA5D09" w:rsidRPr="00E56071">
        <w:rPr>
          <w:lang w:val="sr-Cyrl-RS"/>
        </w:rPr>
        <w:t>и</w:t>
      </w:r>
      <w:r w:rsidRPr="00E56071">
        <w:rPr>
          <w:lang w:val="sr-Cyrl-RS"/>
        </w:rPr>
        <w:t xml:space="preserve"> за сарадњу с црквама и верским заједницама”.</w:t>
      </w:r>
    </w:p>
    <w:p w:rsidR="00687988" w:rsidRPr="00E56071" w:rsidRDefault="00687988" w:rsidP="00687988">
      <w:pPr>
        <w:tabs>
          <w:tab w:val="left" w:pos="720"/>
          <w:tab w:val="left" w:pos="1440"/>
        </w:tabs>
        <w:jc w:val="both"/>
        <w:rPr>
          <w:lang w:val="sr-Cyrl-RS"/>
        </w:rPr>
      </w:pPr>
    </w:p>
    <w:p w:rsidR="00687988" w:rsidRPr="00E56071" w:rsidRDefault="00687988" w:rsidP="00687988">
      <w:pPr>
        <w:tabs>
          <w:tab w:val="left" w:pos="720"/>
          <w:tab w:val="left" w:pos="1440"/>
        </w:tabs>
        <w:jc w:val="center"/>
        <w:rPr>
          <w:lang w:val="sr-Cyrl-RS"/>
        </w:rPr>
      </w:pPr>
      <w:r w:rsidRPr="00E56071">
        <w:rPr>
          <w:lang w:val="sr-Cyrl-RS"/>
        </w:rPr>
        <w:t>Члан 1</w:t>
      </w:r>
      <w:r w:rsidR="007357A4" w:rsidRPr="00E56071">
        <w:rPr>
          <w:lang w:val="sr-Cyrl-RS"/>
        </w:rPr>
        <w:t>2</w:t>
      </w:r>
      <w:r w:rsidRPr="00E56071">
        <w:rPr>
          <w:lang w:val="sr-Cyrl-RS"/>
        </w:rPr>
        <w:t>.</w:t>
      </w:r>
    </w:p>
    <w:p w:rsidR="00B153F0" w:rsidRPr="00E56071" w:rsidRDefault="00687988" w:rsidP="007357A4">
      <w:pPr>
        <w:tabs>
          <w:tab w:val="left" w:pos="720"/>
          <w:tab w:val="left" w:pos="1440"/>
        </w:tabs>
        <w:jc w:val="both"/>
        <w:rPr>
          <w:lang w:val="sr-Cyrl-RS"/>
        </w:rPr>
      </w:pPr>
      <w:r w:rsidRPr="00E56071">
        <w:rPr>
          <w:lang w:val="sr-Cyrl-RS"/>
        </w:rPr>
        <w:tab/>
        <w:t>У члану 2</w:t>
      </w:r>
      <w:r w:rsidR="005F0F08" w:rsidRPr="00E56071">
        <w:rPr>
          <w:lang w:val="sr-Cyrl-RS"/>
        </w:rPr>
        <w:t>5</w:t>
      </w:r>
      <w:r w:rsidRPr="00E56071">
        <w:rPr>
          <w:lang w:val="sr-Cyrl-RS"/>
        </w:rPr>
        <w:t xml:space="preserve">. став </w:t>
      </w:r>
      <w:r w:rsidR="005F0F08" w:rsidRPr="00E56071">
        <w:rPr>
          <w:lang w:val="sr-Cyrl-RS"/>
        </w:rPr>
        <w:t>3</w:t>
      </w:r>
      <w:r w:rsidRPr="00E56071">
        <w:rPr>
          <w:lang w:val="sr-Cyrl-RS"/>
        </w:rPr>
        <w:t>. речи: „</w:t>
      </w:r>
      <w:r w:rsidR="005F0F08" w:rsidRPr="00E56071">
        <w:rPr>
          <w:lang w:val="sr-Cyrl-RS"/>
        </w:rPr>
        <w:t>у оквиру Раздела 19 - Министарство регионалног развоја и локалне самоуправе</w:t>
      </w:r>
      <w:r w:rsidRPr="00E56071">
        <w:rPr>
          <w:lang w:val="sr-Cyrl-RS"/>
        </w:rPr>
        <w:t>” замењују се речима: „</w:t>
      </w:r>
      <w:r w:rsidR="005F0F08" w:rsidRPr="00E56071">
        <w:rPr>
          <w:lang w:val="sr-Cyrl-RS"/>
        </w:rPr>
        <w:t>у оквиру Раздела - Министарство привреде</w:t>
      </w:r>
      <w:r w:rsidRPr="00E56071">
        <w:rPr>
          <w:lang w:val="sr-Cyrl-RS"/>
        </w:rPr>
        <w:t>”.</w:t>
      </w:r>
    </w:p>
    <w:p w:rsidR="002D1311" w:rsidRPr="00E56071" w:rsidRDefault="002D1311">
      <w:pPr>
        <w:tabs>
          <w:tab w:val="left" w:pos="1440"/>
          <w:tab w:val="center" w:pos="6732"/>
        </w:tabs>
        <w:jc w:val="both"/>
        <w:rPr>
          <w:lang w:val="sr-Cyrl-RS"/>
        </w:rPr>
      </w:pPr>
    </w:p>
    <w:p w:rsidR="002D1311" w:rsidRPr="00E56071" w:rsidRDefault="002D1311">
      <w:pPr>
        <w:jc w:val="center"/>
        <w:rPr>
          <w:lang w:val="sr-Cyrl-RS"/>
        </w:rPr>
      </w:pPr>
      <w:r w:rsidRPr="00E56071">
        <w:rPr>
          <w:lang w:val="sr-Cyrl-RS"/>
        </w:rPr>
        <w:t xml:space="preserve">Члан </w:t>
      </w:r>
      <w:r w:rsidR="00673F0D" w:rsidRPr="00E56071">
        <w:rPr>
          <w:lang w:val="sr-Cyrl-RS"/>
        </w:rPr>
        <w:t>1</w:t>
      </w:r>
      <w:r w:rsidR="007357A4" w:rsidRPr="00E56071">
        <w:rPr>
          <w:lang w:val="sr-Cyrl-RS"/>
        </w:rPr>
        <w:t>3</w:t>
      </w:r>
      <w:r w:rsidRPr="00E56071">
        <w:rPr>
          <w:lang w:val="sr-Cyrl-RS"/>
        </w:rPr>
        <w:t>.</w:t>
      </w:r>
    </w:p>
    <w:p w:rsidR="00B16838" w:rsidRPr="00E56071" w:rsidRDefault="002D1311" w:rsidP="00B16838">
      <w:pPr>
        <w:jc w:val="both"/>
        <w:rPr>
          <w:lang w:val="sr-Cyrl-RS"/>
        </w:rPr>
      </w:pPr>
      <w:r w:rsidRPr="00E56071">
        <w:rPr>
          <w:lang w:val="sr-Cyrl-RS"/>
        </w:rPr>
        <w:tab/>
      </w:r>
      <w:r w:rsidR="00B16838" w:rsidRPr="00E56071">
        <w:rPr>
          <w:lang w:val="sr-Cyrl-RS"/>
        </w:rPr>
        <w:t>У  члану 32. додаје се став 2, који гласи:</w:t>
      </w:r>
    </w:p>
    <w:p w:rsidR="00B16838" w:rsidRPr="00E56071" w:rsidRDefault="00B16838" w:rsidP="00B16838">
      <w:pPr>
        <w:ind w:firstLine="720"/>
        <w:jc w:val="both"/>
        <w:rPr>
          <w:lang w:val="sr-Cyrl-RS"/>
        </w:rPr>
      </w:pPr>
      <w:r w:rsidRPr="00E56071">
        <w:rPr>
          <w:lang w:val="sr-Cyrl-RS"/>
        </w:rPr>
        <w:t xml:space="preserve">„Износ ненаменског трансфера из става 1. овог члана, умањује се оним јединицама локалне самоуправе које су на основу одлука </w:t>
      </w:r>
      <w:r w:rsidR="006221BD" w:rsidRPr="00E56071">
        <w:rPr>
          <w:lang w:val="sr-Cyrl-RS"/>
        </w:rPr>
        <w:t xml:space="preserve">својих скупштина </w:t>
      </w:r>
      <w:r w:rsidRPr="00E56071">
        <w:rPr>
          <w:lang w:val="sr-Cyrl-RS"/>
        </w:rPr>
        <w:t>определиле део средстава за отклањање последица поплава, односно ак</w:t>
      </w:r>
      <w:r w:rsidR="006221BD" w:rsidRPr="00E56071">
        <w:rPr>
          <w:lang w:val="sr-Cyrl-RS"/>
        </w:rPr>
        <w:t>тивирања клизишта на подручјима</w:t>
      </w:r>
      <w:r w:rsidRPr="00E56071">
        <w:rPr>
          <w:lang w:val="sr-Cyrl-RS"/>
        </w:rPr>
        <w:t xml:space="preserve"> погођен</w:t>
      </w:r>
      <w:r w:rsidR="006221BD" w:rsidRPr="00E56071">
        <w:rPr>
          <w:lang w:val="sr-Cyrl-RS"/>
        </w:rPr>
        <w:t>и</w:t>
      </w:r>
      <w:r w:rsidRPr="00E56071">
        <w:rPr>
          <w:lang w:val="sr-Cyrl-RS"/>
        </w:rPr>
        <w:t>м поплавама у Републици Србији, које су наступиле у мају 2014. године и иста се користе за намене предвиђене сталном буџетском резервом, у висини: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73"/>
      </w:tblGrid>
      <w:tr w:rsidR="00B16838" w:rsidRPr="00E56071" w:rsidTr="000C21DC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B16838" w:rsidRPr="00E56071" w:rsidRDefault="00B16838" w:rsidP="000C21D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Р.бр.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B16838" w:rsidRPr="00E56071" w:rsidRDefault="00B16838" w:rsidP="000C21D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color w:val="BFBFBF" w:themeColor="background1" w:themeShade="BF"/>
                <w:lang w:val="sr-Cyrl-RS"/>
              </w:rPr>
              <w:t>Ј</w:t>
            </w:r>
            <w:r w:rsidRPr="00E56071">
              <w:rPr>
                <w:rFonts w:ascii="Times New Roman" w:hAnsi="Times New Roman" w:cs="Times New Roman"/>
                <w:lang w:val="sr-Cyrl-RS"/>
              </w:rPr>
              <w:t>Јединица локалне самоуправе</w:t>
            </w:r>
          </w:p>
          <w:p w:rsidR="00B16838" w:rsidRPr="00E56071" w:rsidRDefault="00B16838" w:rsidP="000C21D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color w:val="BFBFBF" w:themeColor="background1" w:themeShade="BF"/>
                <w:lang w:val="sr-Cyrl-RS"/>
              </w:rPr>
              <w:t>ј</w:t>
            </w:r>
          </w:p>
        </w:tc>
        <w:tc>
          <w:tcPr>
            <w:tcW w:w="5073" w:type="dxa"/>
            <w:shd w:val="clear" w:color="auto" w:fill="BFBFBF" w:themeFill="background1" w:themeFillShade="BF"/>
            <w:vAlign w:val="center"/>
          </w:tcPr>
          <w:p w:rsidR="00B16838" w:rsidRPr="00E56071" w:rsidRDefault="00B16838" w:rsidP="000C21DC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lang w:val="sr-Cyrl-RS"/>
              </w:rPr>
            </w:pPr>
            <w:r w:rsidRPr="00E56071">
              <w:rPr>
                <w:rFonts w:ascii="Times New Roman" w:hAnsi="Times New Roman" w:cs="Times New Roman"/>
                <w:color w:val="BFBFBF" w:themeColor="background1" w:themeShade="BF"/>
                <w:lang w:val="sr-Cyrl-RS"/>
              </w:rPr>
              <w:t>Изои Ј</w:t>
            </w:r>
          </w:p>
          <w:p w:rsidR="00B16838" w:rsidRPr="00E56071" w:rsidRDefault="00B16838" w:rsidP="000C21D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Висина трансферних средстава опредељена скупштинском одлуком</w:t>
            </w:r>
          </w:p>
          <w:p w:rsidR="00B16838" w:rsidRPr="00E56071" w:rsidRDefault="00B16838" w:rsidP="000C21DC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lang w:val="sr-Cyrl-RS"/>
              </w:rPr>
            </w:pPr>
            <w:r w:rsidRPr="00E56071">
              <w:rPr>
                <w:rFonts w:ascii="Times New Roman" w:hAnsi="Times New Roman" w:cs="Times New Roman"/>
                <w:color w:val="BFBFBF" w:themeColor="background1" w:themeShade="BF"/>
                <w:lang w:val="sr-Cyrl-RS"/>
              </w:rPr>
              <w:t>ј</w:t>
            </w:r>
          </w:p>
          <w:p w:rsidR="00B16838" w:rsidRPr="00E56071" w:rsidRDefault="00B16838" w:rsidP="000C21DC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lang w:val="sr-Cyrl-RS"/>
              </w:rPr>
            </w:pPr>
            <w:r w:rsidRPr="00E56071">
              <w:rPr>
                <w:rFonts w:ascii="Times New Roman" w:hAnsi="Times New Roman" w:cs="Times New Roman"/>
                <w:color w:val="BFBFBF" w:themeColor="background1" w:themeShade="BF"/>
                <w:lang w:val="sr-Cyrl-RS"/>
              </w:rPr>
              <w:t>ИзИии</w:t>
            </w:r>
          </w:p>
        </w:tc>
      </w:tr>
      <w:tr w:rsidR="00B16838" w:rsidRPr="00E56071" w:rsidTr="000C21DC">
        <w:tc>
          <w:tcPr>
            <w:tcW w:w="817" w:type="dxa"/>
          </w:tcPr>
          <w:p w:rsidR="00B16838" w:rsidRPr="00E56071" w:rsidRDefault="00B16838" w:rsidP="000C21D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3686" w:type="dxa"/>
          </w:tcPr>
          <w:p w:rsidR="00B16838" w:rsidRPr="00E56071" w:rsidRDefault="00B16838" w:rsidP="000C21DC">
            <w:pPr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Алексинац</w:t>
            </w:r>
          </w:p>
        </w:tc>
        <w:tc>
          <w:tcPr>
            <w:tcW w:w="5073" w:type="dxa"/>
          </w:tcPr>
          <w:p w:rsidR="00B16838" w:rsidRPr="00E56071" w:rsidRDefault="00B16838" w:rsidP="000C21DC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3.000.000</w:t>
            </w:r>
          </w:p>
        </w:tc>
      </w:tr>
      <w:tr w:rsidR="00B16838" w:rsidRPr="00E56071" w:rsidTr="000C21DC">
        <w:tc>
          <w:tcPr>
            <w:tcW w:w="817" w:type="dxa"/>
          </w:tcPr>
          <w:p w:rsidR="00B16838" w:rsidRPr="00E56071" w:rsidRDefault="00B16838" w:rsidP="000C21D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3686" w:type="dxa"/>
          </w:tcPr>
          <w:p w:rsidR="00B16838" w:rsidRPr="00E56071" w:rsidRDefault="00B16838" w:rsidP="000C21DC">
            <w:pPr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Гаџин Хан</w:t>
            </w:r>
          </w:p>
        </w:tc>
        <w:tc>
          <w:tcPr>
            <w:tcW w:w="5073" w:type="dxa"/>
          </w:tcPr>
          <w:p w:rsidR="00B16838" w:rsidRPr="00E56071" w:rsidRDefault="00B16838" w:rsidP="000C21DC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500.000</w:t>
            </w:r>
          </w:p>
        </w:tc>
      </w:tr>
      <w:tr w:rsidR="00B16838" w:rsidRPr="00E56071" w:rsidTr="000C21DC">
        <w:tc>
          <w:tcPr>
            <w:tcW w:w="817" w:type="dxa"/>
          </w:tcPr>
          <w:p w:rsidR="00B16838" w:rsidRPr="00E56071" w:rsidRDefault="00B16838" w:rsidP="000C21D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3686" w:type="dxa"/>
          </w:tcPr>
          <w:p w:rsidR="00B16838" w:rsidRPr="00E56071" w:rsidRDefault="00B16838" w:rsidP="000C21DC">
            <w:pPr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Дољевац</w:t>
            </w:r>
          </w:p>
        </w:tc>
        <w:tc>
          <w:tcPr>
            <w:tcW w:w="5073" w:type="dxa"/>
          </w:tcPr>
          <w:p w:rsidR="00B16838" w:rsidRPr="00E56071" w:rsidRDefault="00B16838" w:rsidP="000C21DC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2.000.000</w:t>
            </w:r>
          </w:p>
        </w:tc>
      </w:tr>
      <w:tr w:rsidR="00B16838" w:rsidRPr="00E56071" w:rsidTr="000C21DC">
        <w:tc>
          <w:tcPr>
            <w:tcW w:w="817" w:type="dxa"/>
          </w:tcPr>
          <w:p w:rsidR="00B16838" w:rsidRPr="00E56071" w:rsidRDefault="00B16838" w:rsidP="000C21D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3686" w:type="dxa"/>
          </w:tcPr>
          <w:p w:rsidR="00B16838" w:rsidRPr="00E56071" w:rsidRDefault="00B16838" w:rsidP="000C21DC">
            <w:pPr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Зрењанин</w:t>
            </w:r>
          </w:p>
        </w:tc>
        <w:tc>
          <w:tcPr>
            <w:tcW w:w="5073" w:type="dxa"/>
          </w:tcPr>
          <w:p w:rsidR="00B16838" w:rsidRPr="00E56071" w:rsidRDefault="00B16838" w:rsidP="000C21DC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800.000</w:t>
            </w:r>
          </w:p>
        </w:tc>
      </w:tr>
      <w:tr w:rsidR="00B16838" w:rsidRPr="00E56071" w:rsidTr="000C21DC">
        <w:tc>
          <w:tcPr>
            <w:tcW w:w="817" w:type="dxa"/>
          </w:tcPr>
          <w:p w:rsidR="00B16838" w:rsidRPr="00E56071" w:rsidRDefault="00B16838" w:rsidP="000C21D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3686" w:type="dxa"/>
          </w:tcPr>
          <w:p w:rsidR="00B16838" w:rsidRPr="00E56071" w:rsidRDefault="00B16838" w:rsidP="000C21DC">
            <w:pPr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Ниш</w:t>
            </w:r>
          </w:p>
        </w:tc>
        <w:tc>
          <w:tcPr>
            <w:tcW w:w="5073" w:type="dxa"/>
          </w:tcPr>
          <w:p w:rsidR="00B16838" w:rsidRPr="00E56071" w:rsidRDefault="00B16838" w:rsidP="000C21DC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10.000.000</w:t>
            </w:r>
          </w:p>
        </w:tc>
      </w:tr>
      <w:tr w:rsidR="00B16838" w:rsidRPr="00E56071" w:rsidTr="000C21DC">
        <w:tc>
          <w:tcPr>
            <w:tcW w:w="817" w:type="dxa"/>
          </w:tcPr>
          <w:p w:rsidR="00B16838" w:rsidRPr="00E56071" w:rsidRDefault="00B16838" w:rsidP="000C21D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3686" w:type="dxa"/>
          </w:tcPr>
          <w:p w:rsidR="00B16838" w:rsidRPr="00E56071" w:rsidRDefault="00B16838" w:rsidP="000C21DC">
            <w:pPr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Сврљиг</w:t>
            </w:r>
          </w:p>
        </w:tc>
        <w:tc>
          <w:tcPr>
            <w:tcW w:w="5073" w:type="dxa"/>
          </w:tcPr>
          <w:p w:rsidR="00B16838" w:rsidRPr="00E56071" w:rsidRDefault="00B16838" w:rsidP="000C21DC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1.500.000</w:t>
            </w:r>
          </w:p>
        </w:tc>
      </w:tr>
      <w:tr w:rsidR="00B16838" w:rsidRPr="00E56071" w:rsidTr="000C21DC">
        <w:tc>
          <w:tcPr>
            <w:tcW w:w="817" w:type="dxa"/>
          </w:tcPr>
          <w:p w:rsidR="00B16838" w:rsidRPr="00E56071" w:rsidRDefault="00B16838" w:rsidP="000C21D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3686" w:type="dxa"/>
          </w:tcPr>
          <w:p w:rsidR="00B16838" w:rsidRPr="00E56071" w:rsidRDefault="00B16838" w:rsidP="000C21DC">
            <w:pPr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Сента</w:t>
            </w:r>
          </w:p>
        </w:tc>
        <w:tc>
          <w:tcPr>
            <w:tcW w:w="5073" w:type="dxa"/>
          </w:tcPr>
          <w:p w:rsidR="00B16838" w:rsidRPr="00E56071" w:rsidRDefault="00B16838" w:rsidP="000C21DC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500.000</w:t>
            </w:r>
          </w:p>
        </w:tc>
      </w:tr>
      <w:tr w:rsidR="00B16838" w:rsidRPr="00E56071" w:rsidTr="000C21DC">
        <w:tc>
          <w:tcPr>
            <w:tcW w:w="817" w:type="dxa"/>
          </w:tcPr>
          <w:p w:rsidR="00B16838" w:rsidRPr="00E56071" w:rsidRDefault="00B16838" w:rsidP="000C21D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3686" w:type="dxa"/>
          </w:tcPr>
          <w:p w:rsidR="00B16838" w:rsidRPr="00E56071" w:rsidRDefault="00B16838" w:rsidP="000C21DC">
            <w:pPr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Сокобања</w:t>
            </w:r>
          </w:p>
        </w:tc>
        <w:tc>
          <w:tcPr>
            <w:tcW w:w="5073" w:type="dxa"/>
          </w:tcPr>
          <w:p w:rsidR="00B16838" w:rsidRPr="00E56071" w:rsidRDefault="00B16838" w:rsidP="000C21DC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E56071">
              <w:rPr>
                <w:rFonts w:ascii="Times New Roman" w:hAnsi="Times New Roman" w:cs="Times New Roman"/>
                <w:lang w:val="sr-Cyrl-RS"/>
              </w:rPr>
              <w:t>1.000.000</w:t>
            </w:r>
          </w:p>
        </w:tc>
      </w:tr>
      <w:tr w:rsidR="00B16838" w:rsidRPr="00E56071" w:rsidTr="000C21DC">
        <w:tc>
          <w:tcPr>
            <w:tcW w:w="4503" w:type="dxa"/>
            <w:gridSpan w:val="2"/>
          </w:tcPr>
          <w:p w:rsidR="00B16838" w:rsidRPr="00E56071" w:rsidRDefault="00B16838" w:rsidP="000C21D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56071">
              <w:rPr>
                <w:rFonts w:ascii="Times New Roman" w:hAnsi="Times New Roman" w:cs="Times New Roman"/>
                <w:b/>
                <w:lang w:val="sr-Cyrl-RS"/>
              </w:rPr>
              <w:t>УКУПНО:</w:t>
            </w:r>
          </w:p>
        </w:tc>
        <w:tc>
          <w:tcPr>
            <w:tcW w:w="5073" w:type="dxa"/>
          </w:tcPr>
          <w:p w:rsidR="00B16838" w:rsidRPr="00E56071" w:rsidRDefault="00B16838" w:rsidP="000C21DC">
            <w:pPr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E56071">
              <w:rPr>
                <w:rFonts w:ascii="Times New Roman" w:hAnsi="Times New Roman" w:cs="Times New Roman"/>
                <w:b/>
                <w:lang w:val="sr-Cyrl-RS"/>
              </w:rPr>
              <w:t>19.300.000</w:t>
            </w:r>
          </w:p>
        </w:tc>
      </w:tr>
    </w:tbl>
    <w:p w:rsidR="00AF0E45" w:rsidRPr="00E56071" w:rsidRDefault="00B16838" w:rsidP="00B16838">
      <w:pPr>
        <w:jc w:val="both"/>
        <w:rPr>
          <w:lang w:val="sr-Cyrl-RS"/>
        </w:rPr>
      </w:pPr>
      <w:r w:rsidRPr="00E56071">
        <w:rPr>
          <w:lang w:val="sr-Cyrl-RS"/>
        </w:rPr>
        <w:t>”</w:t>
      </w:r>
    </w:p>
    <w:p w:rsidR="002D1311" w:rsidRPr="00E56071" w:rsidRDefault="002D1311">
      <w:pPr>
        <w:tabs>
          <w:tab w:val="left" w:pos="1440"/>
        </w:tabs>
        <w:jc w:val="both"/>
        <w:rPr>
          <w:lang w:val="sr-Cyrl-RS"/>
        </w:rPr>
      </w:pPr>
    </w:p>
    <w:p w:rsidR="002D1311" w:rsidRPr="00E56071" w:rsidRDefault="002D1311">
      <w:pPr>
        <w:jc w:val="center"/>
        <w:rPr>
          <w:lang w:val="sr-Cyrl-RS"/>
        </w:rPr>
      </w:pPr>
      <w:r w:rsidRPr="00E56071">
        <w:rPr>
          <w:lang w:val="sr-Cyrl-RS"/>
        </w:rPr>
        <w:t xml:space="preserve">Члан </w:t>
      </w:r>
      <w:r w:rsidR="00673F0D" w:rsidRPr="00E56071">
        <w:rPr>
          <w:lang w:val="sr-Cyrl-RS"/>
        </w:rPr>
        <w:t>1</w:t>
      </w:r>
      <w:r w:rsidR="007357A4" w:rsidRPr="00E56071">
        <w:rPr>
          <w:lang w:val="sr-Cyrl-RS"/>
        </w:rPr>
        <w:t>4</w:t>
      </w:r>
      <w:r w:rsidRPr="00E56071">
        <w:rPr>
          <w:lang w:val="sr-Cyrl-RS"/>
        </w:rPr>
        <w:t>.</w:t>
      </w:r>
    </w:p>
    <w:p w:rsidR="00B16838" w:rsidRPr="00E56071" w:rsidRDefault="002D1311" w:rsidP="00B16838">
      <w:pPr>
        <w:pStyle w:val="BodyText"/>
        <w:spacing w:before="4" w:line="276" w:lineRule="auto"/>
        <w:ind w:right="-90" w:firstLine="509"/>
        <w:jc w:val="both"/>
        <w:rPr>
          <w:color w:val="231F20"/>
          <w:spacing w:val="-4"/>
          <w:lang w:val="sr-Cyrl-RS"/>
        </w:rPr>
      </w:pPr>
      <w:r w:rsidRPr="00E56071">
        <w:rPr>
          <w:lang w:val="sr-Cyrl-RS"/>
        </w:rPr>
        <w:tab/>
        <w:t xml:space="preserve"> </w:t>
      </w:r>
      <w:r w:rsidR="00B16838" w:rsidRPr="00E56071">
        <w:rPr>
          <w:color w:val="231F20"/>
          <w:spacing w:val="-4"/>
          <w:lang w:val="sr-Cyrl-RS"/>
        </w:rPr>
        <w:t>У члану 33. р</w:t>
      </w:r>
      <w:r w:rsidR="00B16838" w:rsidRPr="00E56071">
        <w:rPr>
          <w:color w:val="231F20"/>
          <w:lang w:val="sr-Cyrl-RS"/>
        </w:rPr>
        <w:t>ечи: „министар</w:t>
      </w:r>
      <w:r w:rsidR="00B16838" w:rsidRPr="00E56071">
        <w:rPr>
          <w:color w:val="231F20"/>
          <w:spacing w:val="-2"/>
          <w:lang w:val="sr-Cyrl-RS"/>
        </w:rPr>
        <w:t xml:space="preserve"> </w:t>
      </w:r>
      <w:r w:rsidR="00B16838" w:rsidRPr="00E56071">
        <w:rPr>
          <w:color w:val="231F20"/>
          <w:spacing w:val="-1"/>
          <w:lang w:val="sr-Cyrl-RS"/>
        </w:rPr>
        <w:t>без</w:t>
      </w:r>
      <w:r w:rsidR="00B16838" w:rsidRPr="00E56071">
        <w:rPr>
          <w:color w:val="231F20"/>
          <w:spacing w:val="-2"/>
          <w:lang w:val="sr-Cyrl-RS"/>
        </w:rPr>
        <w:t xml:space="preserve"> </w:t>
      </w:r>
      <w:r w:rsidR="00B16838" w:rsidRPr="00E56071">
        <w:rPr>
          <w:color w:val="231F20"/>
          <w:spacing w:val="-1"/>
          <w:lang w:val="sr-Cyrl-RS"/>
        </w:rPr>
        <w:t>портфеља</w:t>
      </w:r>
      <w:r w:rsidR="00B16838" w:rsidRPr="00E56071">
        <w:rPr>
          <w:color w:val="231F20"/>
          <w:spacing w:val="-2"/>
          <w:lang w:val="sr-Cyrl-RS"/>
        </w:rPr>
        <w:t xml:space="preserve"> </w:t>
      </w:r>
      <w:r w:rsidR="00B16838" w:rsidRPr="00E56071">
        <w:rPr>
          <w:color w:val="231F20"/>
          <w:spacing w:val="-1"/>
          <w:lang w:val="sr-Cyrl-RS"/>
        </w:rPr>
        <w:t>одређен</w:t>
      </w:r>
      <w:r w:rsidR="00B16838" w:rsidRPr="00E56071">
        <w:rPr>
          <w:color w:val="231F20"/>
          <w:spacing w:val="-2"/>
          <w:lang w:val="sr-Cyrl-RS"/>
        </w:rPr>
        <w:t xml:space="preserve"> </w:t>
      </w:r>
      <w:r w:rsidR="00B16838" w:rsidRPr="00E56071">
        <w:rPr>
          <w:color w:val="231F20"/>
          <w:lang w:val="sr-Cyrl-RS"/>
        </w:rPr>
        <w:t>да</w:t>
      </w:r>
      <w:r w:rsidR="00B16838" w:rsidRPr="00E56071">
        <w:rPr>
          <w:color w:val="231F20"/>
          <w:spacing w:val="25"/>
          <w:lang w:val="sr-Cyrl-RS"/>
        </w:rPr>
        <w:t xml:space="preserve"> </w:t>
      </w:r>
      <w:r w:rsidR="00B16838" w:rsidRPr="00E56071">
        <w:rPr>
          <w:color w:val="231F20"/>
          <w:spacing w:val="-2"/>
          <w:lang w:val="sr-Cyrl-RS"/>
        </w:rPr>
        <w:t>води Канцеларију”, замењују се речима:</w:t>
      </w:r>
      <w:r w:rsidR="00C26A87" w:rsidRPr="00E56071">
        <w:rPr>
          <w:color w:val="231F20"/>
          <w:lang w:val="sr-Cyrl-RS"/>
        </w:rPr>
        <w:t xml:space="preserve"> </w:t>
      </w:r>
      <w:r w:rsidR="00B16838" w:rsidRPr="00E56071">
        <w:rPr>
          <w:color w:val="231F20"/>
          <w:spacing w:val="-4"/>
          <w:lang w:val="sr-Cyrl-RS"/>
        </w:rPr>
        <w:t>„директор Канцеларије”.</w:t>
      </w:r>
    </w:p>
    <w:p w:rsidR="00341F02" w:rsidRPr="00E56071" w:rsidRDefault="00341F02" w:rsidP="00341F02">
      <w:pPr>
        <w:jc w:val="center"/>
        <w:rPr>
          <w:lang w:val="sr-Cyrl-RS"/>
        </w:rPr>
      </w:pPr>
      <w:r w:rsidRPr="00E56071">
        <w:rPr>
          <w:lang w:val="sr-Cyrl-RS"/>
        </w:rPr>
        <w:t>Члан 15.</w:t>
      </w:r>
    </w:p>
    <w:p w:rsidR="002D1311" w:rsidRPr="00E56071" w:rsidRDefault="00341F02" w:rsidP="00341F02">
      <w:pPr>
        <w:pStyle w:val="BodyText"/>
        <w:spacing w:before="4" w:line="276" w:lineRule="auto"/>
        <w:ind w:right="-90" w:firstLine="509"/>
        <w:jc w:val="both"/>
        <w:rPr>
          <w:b/>
          <w:bCs/>
          <w:lang w:val="sr-Cyrl-RS"/>
        </w:rPr>
      </w:pPr>
      <w:r w:rsidRPr="00E56071">
        <w:rPr>
          <w:lang w:val="sr-Cyrl-RS"/>
        </w:rPr>
        <w:tab/>
        <w:t xml:space="preserve"> </w:t>
      </w:r>
      <w:r w:rsidRPr="00E56071">
        <w:rPr>
          <w:color w:val="231F20"/>
          <w:spacing w:val="-4"/>
          <w:lang w:val="sr-Cyrl-RS"/>
        </w:rPr>
        <w:t xml:space="preserve">У члану 34. </w:t>
      </w:r>
      <w:r w:rsidR="006221BD" w:rsidRPr="00E56071">
        <w:rPr>
          <w:color w:val="231F20"/>
          <w:spacing w:val="-4"/>
          <w:lang w:val="sr-Cyrl-RS"/>
        </w:rPr>
        <w:t xml:space="preserve">став 1. </w:t>
      </w:r>
      <w:r w:rsidRPr="00E56071">
        <w:rPr>
          <w:color w:val="231F20"/>
          <w:spacing w:val="-4"/>
          <w:lang w:val="sr-Cyrl-RS"/>
        </w:rPr>
        <w:t>број</w:t>
      </w:r>
      <w:r w:rsidRPr="00E56071">
        <w:rPr>
          <w:color w:val="231F20"/>
          <w:lang w:val="sr-Cyrl-RS"/>
        </w:rPr>
        <w:t>: „300.000.000</w:t>
      </w:r>
      <w:r w:rsidRPr="00E56071">
        <w:rPr>
          <w:color w:val="231F20"/>
          <w:spacing w:val="-2"/>
          <w:lang w:val="sr-Cyrl-RS"/>
        </w:rPr>
        <w:t>”, замењује се бројем:</w:t>
      </w:r>
      <w:r w:rsidRPr="00E56071">
        <w:rPr>
          <w:color w:val="231F20"/>
          <w:lang w:val="sr-Cyrl-RS"/>
        </w:rPr>
        <w:t xml:space="preserve"> </w:t>
      </w:r>
      <w:r w:rsidRPr="00E56071">
        <w:rPr>
          <w:color w:val="231F20"/>
          <w:spacing w:val="-4"/>
          <w:lang w:val="sr-Cyrl-RS"/>
        </w:rPr>
        <w:t>„4</w:t>
      </w:r>
      <w:r w:rsidR="005D15BB" w:rsidRPr="00E56071">
        <w:rPr>
          <w:color w:val="231F20"/>
          <w:spacing w:val="-4"/>
          <w:lang w:val="sr-Cyrl-RS"/>
        </w:rPr>
        <w:t>5</w:t>
      </w:r>
      <w:r w:rsidRPr="00E56071">
        <w:rPr>
          <w:color w:val="231F20"/>
          <w:spacing w:val="-4"/>
          <w:lang w:val="sr-Cyrl-RS"/>
        </w:rPr>
        <w:t>0.000.000”.</w:t>
      </w:r>
    </w:p>
    <w:p w:rsidR="002D1311" w:rsidRPr="00E56071" w:rsidRDefault="002D1311">
      <w:pPr>
        <w:tabs>
          <w:tab w:val="left" w:pos="1440"/>
        </w:tabs>
        <w:jc w:val="center"/>
        <w:rPr>
          <w:lang w:val="sr-Cyrl-RS"/>
        </w:rPr>
      </w:pPr>
      <w:r w:rsidRPr="00E56071">
        <w:rPr>
          <w:lang w:val="sr-Cyrl-RS"/>
        </w:rPr>
        <w:t xml:space="preserve">Члан </w:t>
      </w:r>
      <w:r w:rsidR="00B16838" w:rsidRPr="00E56071">
        <w:rPr>
          <w:lang w:val="sr-Cyrl-RS"/>
        </w:rPr>
        <w:t>1</w:t>
      </w:r>
      <w:r w:rsidR="00341F02" w:rsidRPr="00E56071">
        <w:rPr>
          <w:lang w:val="sr-Cyrl-RS"/>
        </w:rPr>
        <w:t>6</w:t>
      </w:r>
      <w:r w:rsidRPr="00E56071">
        <w:rPr>
          <w:lang w:val="sr-Cyrl-RS"/>
        </w:rPr>
        <w:t>.</w:t>
      </w:r>
    </w:p>
    <w:p w:rsidR="002D1311" w:rsidRPr="00E56071" w:rsidRDefault="002D1311" w:rsidP="00E45FBC">
      <w:pPr>
        <w:ind w:firstLine="720"/>
        <w:jc w:val="both"/>
        <w:rPr>
          <w:lang w:val="sr-Cyrl-RS"/>
        </w:rPr>
      </w:pPr>
      <w:r w:rsidRPr="00E56071">
        <w:rPr>
          <w:lang w:val="sr-Cyrl-RS"/>
        </w:rPr>
        <w:t xml:space="preserve">Овај закон ступа на снагу </w:t>
      </w:r>
      <w:r w:rsidR="00B16838" w:rsidRPr="00E56071">
        <w:rPr>
          <w:lang w:val="sr-Cyrl-RS"/>
        </w:rPr>
        <w:t>наредног</w:t>
      </w:r>
      <w:r w:rsidRPr="00E56071">
        <w:rPr>
          <w:lang w:val="sr-Cyrl-RS"/>
        </w:rPr>
        <w:t xml:space="preserve"> дана од дана објављивања у „Службеном гласнику Републике Србије”. </w:t>
      </w:r>
    </w:p>
    <w:p w:rsidR="00625802" w:rsidRPr="00E56071" w:rsidRDefault="00625802">
      <w:pPr>
        <w:tabs>
          <w:tab w:val="left" w:pos="1440"/>
        </w:tabs>
        <w:jc w:val="both"/>
        <w:rPr>
          <w:lang w:val="sr-Cyrl-RS"/>
        </w:rPr>
      </w:pPr>
    </w:p>
    <w:p w:rsidR="00B717E8" w:rsidRPr="00E56071" w:rsidRDefault="00B717E8" w:rsidP="00417F95">
      <w:pPr>
        <w:tabs>
          <w:tab w:val="left" w:pos="1440"/>
        </w:tabs>
        <w:jc w:val="both"/>
        <w:rPr>
          <w:lang w:val="sr-Cyrl-RS"/>
        </w:rPr>
      </w:pPr>
    </w:p>
    <w:sectPr w:rsidR="00B717E8" w:rsidRPr="00E56071" w:rsidSect="00987DDF">
      <w:footerReference w:type="default" r:id="rId9"/>
      <w:pgSz w:w="12240" w:h="15840" w:code="1"/>
      <w:pgMar w:top="1170" w:right="1440" w:bottom="1440" w:left="1440" w:header="708" w:footer="708" w:gutter="0"/>
      <w:pgNumType w:start="2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AF2" w:rsidRDefault="00217AF2">
      <w:r>
        <w:separator/>
      </w:r>
    </w:p>
  </w:endnote>
  <w:endnote w:type="continuationSeparator" w:id="0">
    <w:p w:rsidR="00217AF2" w:rsidRDefault="0021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C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E2E" w:rsidRDefault="00DE13ED">
    <w:pPr>
      <w:pStyle w:val="Footer"/>
      <w:framePr w:wrap="auto" w:vAnchor="text" w:hAnchor="page" w:x="10036" w:y="10"/>
      <w:rPr>
        <w:rStyle w:val="PageNumber"/>
      </w:rPr>
    </w:pPr>
    <w:r>
      <w:rPr>
        <w:rStyle w:val="PageNumber"/>
      </w:rPr>
      <w:fldChar w:fldCharType="begin"/>
    </w:r>
    <w:r w:rsidR="00200E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6071">
      <w:rPr>
        <w:rStyle w:val="PageNumber"/>
        <w:noProof/>
      </w:rPr>
      <w:t>220</w:t>
    </w:r>
    <w:r>
      <w:rPr>
        <w:rStyle w:val="PageNumber"/>
      </w:rPr>
      <w:fldChar w:fldCharType="end"/>
    </w:r>
  </w:p>
  <w:p w:rsidR="00200E2E" w:rsidRDefault="00200E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AF2" w:rsidRDefault="00217AF2">
      <w:r>
        <w:separator/>
      </w:r>
    </w:p>
  </w:footnote>
  <w:footnote w:type="continuationSeparator" w:id="0">
    <w:p w:rsidR="00217AF2" w:rsidRDefault="0021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154"/>
    <w:multiLevelType w:val="hybridMultilevel"/>
    <w:tmpl w:val="F81E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15F44"/>
    <w:multiLevelType w:val="hybridMultilevel"/>
    <w:tmpl w:val="36361B7C"/>
    <w:lvl w:ilvl="0" w:tplc="13563DD2">
      <w:start w:val="3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14191B"/>
    <w:multiLevelType w:val="hybridMultilevel"/>
    <w:tmpl w:val="B044C0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F397B"/>
    <w:multiLevelType w:val="hybridMultilevel"/>
    <w:tmpl w:val="E1D07E04"/>
    <w:lvl w:ilvl="0" w:tplc="00947116">
      <w:start w:val="3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7B"/>
    <w:rsid w:val="0001797C"/>
    <w:rsid w:val="00017D8F"/>
    <w:rsid w:val="00020C4E"/>
    <w:rsid w:val="00043C98"/>
    <w:rsid w:val="00057446"/>
    <w:rsid w:val="00057E46"/>
    <w:rsid w:val="00060918"/>
    <w:rsid w:val="000633BA"/>
    <w:rsid w:val="00065818"/>
    <w:rsid w:val="000702C0"/>
    <w:rsid w:val="000765CF"/>
    <w:rsid w:val="000800EE"/>
    <w:rsid w:val="00092CA6"/>
    <w:rsid w:val="000A59CA"/>
    <w:rsid w:val="000B359F"/>
    <w:rsid w:val="000B39FE"/>
    <w:rsid w:val="000C2C2A"/>
    <w:rsid w:val="000C78FB"/>
    <w:rsid w:val="000E1AD8"/>
    <w:rsid w:val="000F7831"/>
    <w:rsid w:val="00101C09"/>
    <w:rsid w:val="0010220C"/>
    <w:rsid w:val="0010245C"/>
    <w:rsid w:val="00115243"/>
    <w:rsid w:val="00123B21"/>
    <w:rsid w:val="00127884"/>
    <w:rsid w:val="00132F4F"/>
    <w:rsid w:val="00140A4D"/>
    <w:rsid w:val="0014581D"/>
    <w:rsid w:val="00146CB2"/>
    <w:rsid w:val="00151312"/>
    <w:rsid w:val="0017144F"/>
    <w:rsid w:val="00171905"/>
    <w:rsid w:val="0018679C"/>
    <w:rsid w:val="001A3204"/>
    <w:rsid w:val="001A432C"/>
    <w:rsid w:val="001A6A7A"/>
    <w:rsid w:val="001B44A8"/>
    <w:rsid w:val="001D71A7"/>
    <w:rsid w:val="001F644F"/>
    <w:rsid w:val="001F6D0E"/>
    <w:rsid w:val="00200E2E"/>
    <w:rsid w:val="002021B3"/>
    <w:rsid w:val="002104AD"/>
    <w:rsid w:val="00217AF2"/>
    <w:rsid w:val="0022751F"/>
    <w:rsid w:val="002367D1"/>
    <w:rsid w:val="00254A7A"/>
    <w:rsid w:val="0026564A"/>
    <w:rsid w:val="00272906"/>
    <w:rsid w:val="00275290"/>
    <w:rsid w:val="002752C9"/>
    <w:rsid w:val="00283245"/>
    <w:rsid w:val="0028521A"/>
    <w:rsid w:val="002945E8"/>
    <w:rsid w:val="002965C0"/>
    <w:rsid w:val="002B2377"/>
    <w:rsid w:val="002C1B45"/>
    <w:rsid w:val="002D1311"/>
    <w:rsid w:val="002E149E"/>
    <w:rsid w:val="002E1C7E"/>
    <w:rsid w:val="002E2AD1"/>
    <w:rsid w:val="002E79CF"/>
    <w:rsid w:val="002F0FC9"/>
    <w:rsid w:val="002F1894"/>
    <w:rsid w:val="002F328F"/>
    <w:rsid w:val="002F6931"/>
    <w:rsid w:val="002F6CCD"/>
    <w:rsid w:val="003201A7"/>
    <w:rsid w:val="00335907"/>
    <w:rsid w:val="0034124F"/>
    <w:rsid w:val="00341F02"/>
    <w:rsid w:val="0036635A"/>
    <w:rsid w:val="00366BF1"/>
    <w:rsid w:val="00372858"/>
    <w:rsid w:val="00385800"/>
    <w:rsid w:val="00393271"/>
    <w:rsid w:val="003A0D44"/>
    <w:rsid w:val="003B15B8"/>
    <w:rsid w:val="003C3B8F"/>
    <w:rsid w:val="003D71DC"/>
    <w:rsid w:val="0040097B"/>
    <w:rsid w:val="00417F95"/>
    <w:rsid w:val="00442D70"/>
    <w:rsid w:val="00451F54"/>
    <w:rsid w:val="00477550"/>
    <w:rsid w:val="004B2630"/>
    <w:rsid w:val="004B4353"/>
    <w:rsid w:val="004B5022"/>
    <w:rsid w:val="004C6643"/>
    <w:rsid w:val="00513E31"/>
    <w:rsid w:val="00513E77"/>
    <w:rsid w:val="00515CE0"/>
    <w:rsid w:val="0053566D"/>
    <w:rsid w:val="00541C92"/>
    <w:rsid w:val="00543B11"/>
    <w:rsid w:val="00552AB8"/>
    <w:rsid w:val="00553EF9"/>
    <w:rsid w:val="00554004"/>
    <w:rsid w:val="00560852"/>
    <w:rsid w:val="0056775A"/>
    <w:rsid w:val="00572AC0"/>
    <w:rsid w:val="00573B1A"/>
    <w:rsid w:val="00587653"/>
    <w:rsid w:val="005954EB"/>
    <w:rsid w:val="005A03A5"/>
    <w:rsid w:val="005A0600"/>
    <w:rsid w:val="005A5615"/>
    <w:rsid w:val="005A60DD"/>
    <w:rsid w:val="005A6CB9"/>
    <w:rsid w:val="005B7D0C"/>
    <w:rsid w:val="005C56F7"/>
    <w:rsid w:val="005C5F0C"/>
    <w:rsid w:val="005D15BB"/>
    <w:rsid w:val="005D260D"/>
    <w:rsid w:val="005E3FAD"/>
    <w:rsid w:val="005E604C"/>
    <w:rsid w:val="005F0F08"/>
    <w:rsid w:val="005F6A04"/>
    <w:rsid w:val="006001DD"/>
    <w:rsid w:val="006221BD"/>
    <w:rsid w:val="00625802"/>
    <w:rsid w:val="00634BEB"/>
    <w:rsid w:val="0063671D"/>
    <w:rsid w:val="0066610F"/>
    <w:rsid w:val="00673F0D"/>
    <w:rsid w:val="00676F5C"/>
    <w:rsid w:val="00683CC2"/>
    <w:rsid w:val="00687988"/>
    <w:rsid w:val="00690E12"/>
    <w:rsid w:val="006A4F59"/>
    <w:rsid w:val="006A5415"/>
    <w:rsid w:val="006A71F4"/>
    <w:rsid w:val="006A7C1E"/>
    <w:rsid w:val="006B78A5"/>
    <w:rsid w:val="006C3B04"/>
    <w:rsid w:val="006C5300"/>
    <w:rsid w:val="006D54BA"/>
    <w:rsid w:val="006F3AC7"/>
    <w:rsid w:val="00721DF5"/>
    <w:rsid w:val="00733CBA"/>
    <w:rsid w:val="007357A4"/>
    <w:rsid w:val="007617FD"/>
    <w:rsid w:val="0077382D"/>
    <w:rsid w:val="00774AD2"/>
    <w:rsid w:val="0079391C"/>
    <w:rsid w:val="007A1F60"/>
    <w:rsid w:val="007A3532"/>
    <w:rsid w:val="007C007B"/>
    <w:rsid w:val="007D1991"/>
    <w:rsid w:val="007F7599"/>
    <w:rsid w:val="0080045F"/>
    <w:rsid w:val="008054ED"/>
    <w:rsid w:val="0081641E"/>
    <w:rsid w:val="0083087A"/>
    <w:rsid w:val="00845756"/>
    <w:rsid w:val="008462C8"/>
    <w:rsid w:val="00846E46"/>
    <w:rsid w:val="008475E5"/>
    <w:rsid w:val="008654C5"/>
    <w:rsid w:val="00867002"/>
    <w:rsid w:val="00872F52"/>
    <w:rsid w:val="00890F1A"/>
    <w:rsid w:val="008A44C4"/>
    <w:rsid w:val="008A4B81"/>
    <w:rsid w:val="008A5D70"/>
    <w:rsid w:val="008C342D"/>
    <w:rsid w:val="008D3934"/>
    <w:rsid w:val="008E0D20"/>
    <w:rsid w:val="008F030D"/>
    <w:rsid w:val="0090407D"/>
    <w:rsid w:val="00916E4A"/>
    <w:rsid w:val="00926318"/>
    <w:rsid w:val="009274D5"/>
    <w:rsid w:val="00935575"/>
    <w:rsid w:val="009416C1"/>
    <w:rsid w:val="009508A0"/>
    <w:rsid w:val="00955EB7"/>
    <w:rsid w:val="00956A00"/>
    <w:rsid w:val="0096263F"/>
    <w:rsid w:val="00964B9B"/>
    <w:rsid w:val="009651C3"/>
    <w:rsid w:val="00973279"/>
    <w:rsid w:val="00980A51"/>
    <w:rsid w:val="00987DDF"/>
    <w:rsid w:val="00990E8E"/>
    <w:rsid w:val="00997E60"/>
    <w:rsid w:val="009A0BE9"/>
    <w:rsid w:val="009A485E"/>
    <w:rsid w:val="009A5871"/>
    <w:rsid w:val="009B2452"/>
    <w:rsid w:val="009B518F"/>
    <w:rsid w:val="009E7D17"/>
    <w:rsid w:val="009F2C3E"/>
    <w:rsid w:val="009F6E99"/>
    <w:rsid w:val="00A37140"/>
    <w:rsid w:val="00A65BA1"/>
    <w:rsid w:val="00A82BFD"/>
    <w:rsid w:val="00A82D3C"/>
    <w:rsid w:val="00A9312D"/>
    <w:rsid w:val="00A95194"/>
    <w:rsid w:val="00AA5D09"/>
    <w:rsid w:val="00AC4BF2"/>
    <w:rsid w:val="00AC6913"/>
    <w:rsid w:val="00AD0377"/>
    <w:rsid w:val="00AF0E45"/>
    <w:rsid w:val="00B07D9A"/>
    <w:rsid w:val="00B11421"/>
    <w:rsid w:val="00B153F0"/>
    <w:rsid w:val="00B16838"/>
    <w:rsid w:val="00B24267"/>
    <w:rsid w:val="00B55B63"/>
    <w:rsid w:val="00B56376"/>
    <w:rsid w:val="00B717E8"/>
    <w:rsid w:val="00B8551C"/>
    <w:rsid w:val="00B87C65"/>
    <w:rsid w:val="00B9185E"/>
    <w:rsid w:val="00B9698A"/>
    <w:rsid w:val="00BA7239"/>
    <w:rsid w:val="00BB520D"/>
    <w:rsid w:val="00BC0E84"/>
    <w:rsid w:val="00BD7058"/>
    <w:rsid w:val="00BF214A"/>
    <w:rsid w:val="00BF5293"/>
    <w:rsid w:val="00C1245B"/>
    <w:rsid w:val="00C264B3"/>
    <w:rsid w:val="00C26A87"/>
    <w:rsid w:val="00C31B7B"/>
    <w:rsid w:val="00C31BC8"/>
    <w:rsid w:val="00C325BC"/>
    <w:rsid w:val="00C3582E"/>
    <w:rsid w:val="00C55866"/>
    <w:rsid w:val="00C57F8C"/>
    <w:rsid w:val="00C6483B"/>
    <w:rsid w:val="00C6724F"/>
    <w:rsid w:val="00C76624"/>
    <w:rsid w:val="00CA20A0"/>
    <w:rsid w:val="00CA5607"/>
    <w:rsid w:val="00CB1FDE"/>
    <w:rsid w:val="00CB2E3F"/>
    <w:rsid w:val="00CE7414"/>
    <w:rsid w:val="00D01E31"/>
    <w:rsid w:val="00D16E84"/>
    <w:rsid w:val="00D3702E"/>
    <w:rsid w:val="00D406FD"/>
    <w:rsid w:val="00D412EE"/>
    <w:rsid w:val="00D4335B"/>
    <w:rsid w:val="00D513D1"/>
    <w:rsid w:val="00D6514B"/>
    <w:rsid w:val="00D65404"/>
    <w:rsid w:val="00DA0BC2"/>
    <w:rsid w:val="00DA3E31"/>
    <w:rsid w:val="00DC11A6"/>
    <w:rsid w:val="00DC152A"/>
    <w:rsid w:val="00DE13ED"/>
    <w:rsid w:val="00DF3E9E"/>
    <w:rsid w:val="00DF5408"/>
    <w:rsid w:val="00E117A4"/>
    <w:rsid w:val="00E418E4"/>
    <w:rsid w:val="00E45FBC"/>
    <w:rsid w:val="00E522B6"/>
    <w:rsid w:val="00E56040"/>
    <w:rsid w:val="00E56071"/>
    <w:rsid w:val="00E70065"/>
    <w:rsid w:val="00E7648E"/>
    <w:rsid w:val="00E81DD7"/>
    <w:rsid w:val="00E87F96"/>
    <w:rsid w:val="00E9091F"/>
    <w:rsid w:val="00EA3F82"/>
    <w:rsid w:val="00EA476E"/>
    <w:rsid w:val="00EA50D2"/>
    <w:rsid w:val="00EE2D14"/>
    <w:rsid w:val="00EF15CC"/>
    <w:rsid w:val="00F01781"/>
    <w:rsid w:val="00F36F2E"/>
    <w:rsid w:val="00F45967"/>
    <w:rsid w:val="00F5056C"/>
    <w:rsid w:val="00F51C9D"/>
    <w:rsid w:val="00F556F6"/>
    <w:rsid w:val="00F76175"/>
    <w:rsid w:val="00F76D64"/>
    <w:rsid w:val="00F90B4C"/>
    <w:rsid w:val="00F91E0D"/>
    <w:rsid w:val="00FA5FB9"/>
    <w:rsid w:val="00FB1334"/>
    <w:rsid w:val="00FD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2F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">
    <w:name w:val="Normal B"/>
    <w:basedOn w:val="Normal"/>
    <w:rsid w:val="00872F52"/>
    <w:pPr>
      <w:spacing w:after="240"/>
      <w:ind w:firstLine="680"/>
      <w:jc w:val="both"/>
    </w:pPr>
    <w:rPr>
      <w:rFonts w:ascii="YU C Times" w:hAnsi="YU C Times" w:cs="YU C Times"/>
      <w:lang w:val="sr-Cyrl-CS"/>
    </w:rPr>
  </w:style>
  <w:style w:type="paragraph" w:styleId="Footer">
    <w:name w:val="footer"/>
    <w:basedOn w:val="Normal"/>
    <w:link w:val="FooterChar"/>
    <w:semiHidden/>
    <w:rsid w:val="00872F52"/>
    <w:pPr>
      <w:tabs>
        <w:tab w:val="center" w:pos="4702"/>
        <w:tab w:val="right" w:pos="9405"/>
      </w:tabs>
    </w:pPr>
  </w:style>
  <w:style w:type="character" w:customStyle="1" w:styleId="FooterChar">
    <w:name w:val="Footer Char"/>
    <w:link w:val="Footer"/>
    <w:semiHidden/>
    <w:locked/>
    <w:rsid w:val="00872F52"/>
    <w:rPr>
      <w:rFonts w:cs="Times New Roman"/>
      <w:sz w:val="24"/>
      <w:szCs w:val="24"/>
    </w:rPr>
  </w:style>
  <w:style w:type="character" w:styleId="PageNumber">
    <w:name w:val="page number"/>
    <w:semiHidden/>
    <w:rsid w:val="00872F52"/>
    <w:rPr>
      <w:rFonts w:cs="Times New Roman"/>
    </w:rPr>
  </w:style>
  <w:style w:type="paragraph" w:styleId="Header">
    <w:name w:val="header"/>
    <w:basedOn w:val="Normal"/>
    <w:link w:val="HeaderChar"/>
    <w:rsid w:val="00872F52"/>
    <w:pPr>
      <w:tabs>
        <w:tab w:val="center" w:pos="4702"/>
        <w:tab w:val="right" w:pos="9405"/>
      </w:tabs>
    </w:pPr>
  </w:style>
  <w:style w:type="character" w:customStyle="1" w:styleId="HeaderChar">
    <w:name w:val="Header Char"/>
    <w:link w:val="Header"/>
    <w:locked/>
    <w:rsid w:val="00872F52"/>
    <w:rPr>
      <w:rFonts w:cs="Times New Roman"/>
      <w:sz w:val="24"/>
      <w:szCs w:val="24"/>
    </w:rPr>
  </w:style>
  <w:style w:type="paragraph" w:customStyle="1" w:styleId="Normal1">
    <w:name w:val="Normal1"/>
    <w:basedOn w:val="Normal"/>
    <w:rsid w:val="00872F5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72F52"/>
    <w:pPr>
      <w:spacing w:after="200" w:line="276" w:lineRule="auto"/>
      <w:ind w:left="720"/>
    </w:pPr>
    <w:rPr>
      <w:rFonts w:ascii="Calibri" w:hAnsi="Calibri" w:cs="Calibri"/>
      <w:sz w:val="22"/>
      <w:szCs w:val="22"/>
      <w:lang w:val="sr-Latn-CS"/>
    </w:rPr>
  </w:style>
  <w:style w:type="paragraph" w:customStyle="1" w:styleId="rvps1">
    <w:name w:val="rvps1"/>
    <w:basedOn w:val="Normal"/>
    <w:rsid w:val="00872F52"/>
  </w:style>
  <w:style w:type="character" w:customStyle="1" w:styleId="rvts15">
    <w:name w:val="rvts15"/>
    <w:rsid w:val="00872F52"/>
    <w:rPr>
      <w:color w:val="000000"/>
      <w:sz w:val="20"/>
    </w:rPr>
  </w:style>
  <w:style w:type="paragraph" w:styleId="NormalWeb">
    <w:name w:val="Normal (Web)"/>
    <w:basedOn w:val="Normal"/>
    <w:semiHidden/>
    <w:rsid w:val="00872F52"/>
    <w:pPr>
      <w:jc w:val="center"/>
    </w:pPr>
  </w:style>
  <w:style w:type="character" w:customStyle="1" w:styleId="rvts2">
    <w:name w:val="rvts2"/>
    <w:rsid w:val="00872F52"/>
    <w:rPr>
      <w:i/>
      <w:color w:val="000000"/>
      <w:sz w:val="20"/>
    </w:rPr>
  </w:style>
  <w:style w:type="character" w:styleId="CommentReference">
    <w:name w:val="annotation reference"/>
    <w:semiHidden/>
    <w:rsid w:val="00872F5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2F52"/>
    <w:pPr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872F52"/>
    <w:rPr>
      <w:rFonts w:ascii="Calibri" w:hAnsi="Calibri" w:cs="Calibri"/>
    </w:rPr>
  </w:style>
  <w:style w:type="paragraph" w:styleId="BalloonText">
    <w:name w:val="Balloon Text"/>
    <w:basedOn w:val="Normal"/>
    <w:link w:val="BalloonTextChar"/>
    <w:semiHidden/>
    <w:rsid w:val="00872F5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72F52"/>
    <w:rPr>
      <w:rFonts w:ascii="Tahoma" w:hAnsi="Tahoma" w:cs="Tahoma"/>
      <w:sz w:val="16"/>
      <w:szCs w:val="16"/>
    </w:rPr>
  </w:style>
  <w:style w:type="character" w:customStyle="1" w:styleId="CharCharChar">
    <w:name w:val="Char Char Char"/>
    <w:rsid w:val="00872F52"/>
    <w:rPr>
      <w:sz w:val="24"/>
      <w:lang w:val="sr-Cyrl-CS" w:eastAsia="en-US"/>
    </w:rPr>
  </w:style>
  <w:style w:type="paragraph" w:customStyle="1" w:styleId="izmenatekst">
    <w:name w:val="izmena_tekst"/>
    <w:basedOn w:val="Normal"/>
    <w:rsid w:val="00872F52"/>
    <w:pPr>
      <w:spacing w:before="100" w:beforeAutospacing="1" w:after="100" w:afterAutospacing="1"/>
    </w:pPr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72F52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872F52"/>
    <w:rPr>
      <w:rFonts w:ascii="Calibri" w:hAnsi="Calibri" w:cs="Calibri"/>
      <w:b/>
      <w:bCs/>
    </w:rPr>
  </w:style>
  <w:style w:type="character" w:customStyle="1" w:styleId="rvts3">
    <w:name w:val="rvts3"/>
    <w:rsid w:val="00872F52"/>
    <w:rPr>
      <w:rFonts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rsid w:val="004B2630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link w:val="BodyTextIndent"/>
    <w:locked/>
    <w:rsid w:val="004B2630"/>
    <w:rPr>
      <w:rFonts w:cs="Times New Roman"/>
      <w:sz w:val="24"/>
      <w:szCs w:val="24"/>
      <w:lang w:val="it-IT" w:eastAsia="it-IT"/>
    </w:rPr>
  </w:style>
  <w:style w:type="paragraph" w:customStyle="1" w:styleId="wyq110---naslov-clana">
    <w:name w:val="wyq110---naslov-clana"/>
    <w:basedOn w:val="Normal"/>
    <w:rsid w:val="00FD6273"/>
    <w:pPr>
      <w:spacing w:before="240" w:after="24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locked/>
    <w:rsid w:val="00B1683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1683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168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2F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">
    <w:name w:val="Normal B"/>
    <w:basedOn w:val="Normal"/>
    <w:rsid w:val="00872F52"/>
    <w:pPr>
      <w:spacing w:after="240"/>
      <w:ind w:firstLine="680"/>
      <w:jc w:val="both"/>
    </w:pPr>
    <w:rPr>
      <w:rFonts w:ascii="YU C Times" w:hAnsi="YU C Times" w:cs="YU C Times"/>
      <w:lang w:val="sr-Cyrl-CS"/>
    </w:rPr>
  </w:style>
  <w:style w:type="paragraph" w:styleId="Footer">
    <w:name w:val="footer"/>
    <w:basedOn w:val="Normal"/>
    <w:link w:val="FooterChar"/>
    <w:semiHidden/>
    <w:rsid w:val="00872F52"/>
    <w:pPr>
      <w:tabs>
        <w:tab w:val="center" w:pos="4702"/>
        <w:tab w:val="right" w:pos="9405"/>
      </w:tabs>
    </w:pPr>
  </w:style>
  <w:style w:type="character" w:customStyle="1" w:styleId="FooterChar">
    <w:name w:val="Footer Char"/>
    <w:link w:val="Footer"/>
    <w:semiHidden/>
    <w:locked/>
    <w:rsid w:val="00872F52"/>
    <w:rPr>
      <w:rFonts w:cs="Times New Roman"/>
      <w:sz w:val="24"/>
      <w:szCs w:val="24"/>
    </w:rPr>
  </w:style>
  <w:style w:type="character" w:styleId="PageNumber">
    <w:name w:val="page number"/>
    <w:semiHidden/>
    <w:rsid w:val="00872F52"/>
    <w:rPr>
      <w:rFonts w:cs="Times New Roman"/>
    </w:rPr>
  </w:style>
  <w:style w:type="paragraph" w:styleId="Header">
    <w:name w:val="header"/>
    <w:basedOn w:val="Normal"/>
    <w:link w:val="HeaderChar"/>
    <w:rsid w:val="00872F52"/>
    <w:pPr>
      <w:tabs>
        <w:tab w:val="center" w:pos="4702"/>
        <w:tab w:val="right" w:pos="9405"/>
      </w:tabs>
    </w:pPr>
  </w:style>
  <w:style w:type="character" w:customStyle="1" w:styleId="HeaderChar">
    <w:name w:val="Header Char"/>
    <w:link w:val="Header"/>
    <w:locked/>
    <w:rsid w:val="00872F52"/>
    <w:rPr>
      <w:rFonts w:cs="Times New Roman"/>
      <w:sz w:val="24"/>
      <w:szCs w:val="24"/>
    </w:rPr>
  </w:style>
  <w:style w:type="paragraph" w:customStyle="1" w:styleId="Normal1">
    <w:name w:val="Normal1"/>
    <w:basedOn w:val="Normal"/>
    <w:rsid w:val="00872F5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72F52"/>
    <w:pPr>
      <w:spacing w:after="200" w:line="276" w:lineRule="auto"/>
      <w:ind w:left="720"/>
    </w:pPr>
    <w:rPr>
      <w:rFonts w:ascii="Calibri" w:hAnsi="Calibri" w:cs="Calibri"/>
      <w:sz w:val="22"/>
      <w:szCs w:val="22"/>
      <w:lang w:val="sr-Latn-CS"/>
    </w:rPr>
  </w:style>
  <w:style w:type="paragraph" w:customStyle="1" w:styleId="rvps1">
    <w:name w:val="rvps1"/>
    <w:basedOn w:val="Normal"/>
    <w:rsid w:val="00872F52"/>
  </w:style>
  <w:style w:type="character" w:customStyle="1" w:styleId="rvts15">
    <w:name w:val="rvts15"/>
    <w:rsid w:val="00872F52"/>
    <w:rPr>
      <w:color w:val="000000"/>
      <w:sz w:val="20"/>
    </w:rPr>
  </w:style>
  <w:style w:type="paragraph" w:styleId="NormalWeb">
    <w:name w:val="Normal (Web)"/>
    <w:basedOn w:val="Normal"/>
    <w:semiHidden/>
    <w:rsid w:val="00872F52"/>
    <w:pPr>
      <w:jc w:val="center"/>
    </w:pPr>
  </w:style>
  <w:style w:type="character" w:customStyle="1" w:styleId="rvts2">
    <w:name w:val="rvts2"/>
    <w:rsid w:val="00872F52"/>
    <w:rPr>
      <w:i/>
      <w:color w:val="000000"/>
      <w:sz w:val="20"/>
    </w:rPr>
  </w:style>
  <w:style w:type="character" w:styleId="CommentReference">
    <w:name w:val="annotation reference"/>
    <w:semiHidden/>
    <w:rsid w:val="00872F5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2F52"/>
    <w:pPr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872F52"/>
    <w:rPr>
      <w:rFonts w:ascii="Calibri" w:hAnsi="Calibri" w:cs="Calibri"/>
    </w:rPr>
  </w:style>
  <w:style w:type="paragraph" w:styleId="BalloonText">
    <w:name w:val="Balloon Text"/>
    <w:basedOn w:val="Normal"/>
    <w:link w:val="BalloonTextChar"/>
    <w:semiHidden/>
    <w:rsid w:val="00872F5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72F52"/>
    <w:rPr>
      <w:rFonts w:ascii="Tahoma" w:hAnsi="Tahoma" w:cs="Tahoma"/>
      <w:sz w:val="16"/>
      <w:szCs w:val="16"/>
    </w:rPr>
  </w:style>
  <w:style w:type="character" w:customStyle="1" w:styleId="CharCharChar">
    <w:name w:val="Char Char Char"/>
    <w:rsid w:val="00872F52"/>
    <w:rPr>
      <w:sz w:val="24"/>
      <w:lang w:val="sr-Cyrl-CS" w:eastAsia="en-US"/>
    </w:rPr>
  </w:style>
  <w:style w:type="paragraph" w:customStyle="1" w:styleId="izmenatekst">
    <w:name w:val="izmena_tekst"/>
    <w:basedOn w:val="Normal"/>
    <w:rsid w:val="00872F52"/>
    <w:pPr>
      <w:spacing w:before="100" w:beforeAutospacing="1" w:after="100" w:afterAutospacing="1"/>
    </w:pPr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72F52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872F52"/>
    <w:rPr>
      <w:rFonts w:ascii="Calibri" w:hAnsi="Calibri" w:cs="Calibri"/>
      <w:b/>
      <w:bCs/>
    </w:rPr>
  </w:style>
  <w:style w:type="character" w:customStyle="1" w:styleId="rvts3">
    <w:name w:val="rvts3"/>
    <w:rsid w:val="00872F52"/>
    <w:rPr>
      <w:rFonts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rsid w:val="004B2630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link w:val="BodyTextIndent"/>
    <w:locked/>
    <w:rsid w:val="004B2630"/>
    <w:rPr>
      <w:rFonts w:cs="Times New Roman"/>
      <w:sz w:val="24"/>
      <w:szCs w:val="24"/>
      <w:lang w:val="it-IT" w:eastAsia="it-IT"/>
    </w:rPr>
  </w:style>
  <w:style w:type="paragraph" w:customStyle="1" w:styleId="wyq110---naslov-clana">
    <w:name w:val="wyq110---naslov-clana"/>
    <w:basedOn w:val="Normal"/>
    <w:rsid w:val="00FD6273"/>
    <w:pPr>
      <w:spacing w:before="240" w:after="24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locked/>
    <w:rsid w:val="00B1683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1683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168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A7F00-7320-4838-B284-E1975B23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III</vt:lpstr>
    </vt:vector>
  </TitlesOfParts>
  <Company>Grizli777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Marija Filipovic</dc:creator>
  <cp:lastModifiedBy>Snezana Marinovic</cp:lastModifiedBy>
  <cp:revision>3</cp:revision>
  <cp:lastPrinted>2013-11-01T20:24:00Z</cp:lastPrinted>
  <dcterms:created xsi:type="dcterms:W3CDTF">2014-10-22T08:28:00Z</dcterms:created>
  <dcterms:modified xsi:type="dcterms:W3CDTF">2014-10-22T09:49:00Z</dcterms:modified>
</cp:coreProperties>
</file>